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 </w:t>
      </w:r>
      <w:r>
        <w:rPr>
          <w:rFonts w:hint="eastAsia" w:asciiTheme="minorEastAsia" w:hAnsiTheme="minorEastAsia" w:cstheme="minorEastAsia"/>
          <w:b/>
          <w:color w:val="333333"/>
          <w:sz w:val="28"/>
          <w:szCs w:val="28"/>
          <w:lang w:val="en-US" w:eastAsia="zh-CN"/>
        </w:rPr>
        <w:t>绥滨县体育运动中心</w:t>
      </w:r>
      <w:r>
        <w:rPr>
          <w:rFonts w:hint="eastAsia" w:asciiTheme="minorEastAsia" w:hAnsiTheme="minorEastAsia" w:cstheme="minorEastAsia"/>
          <w:b/>
          <w:color w:val="333333"/>
          <w:sz w:val="28"/>
          <w:szCs w:val="28"/>
        </w:rPr>
        <w:t>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leftChars="0" w:right="0" w:firstLine="560" w:firstLineChars="200"/>
        <w:jc w:val="left"/>
        <w:textAlignment w:val="auto"/>
        <w:outlineLvl w:val="9"/>
        <w:rPr>
          <w:rFonts w:hint="eastAsia" w:asciiTheme="minorEastAsia" w:hAnsiTheme="minorEastAsia" w:eastAsiaTheme="minorEastAsia" w:cstheme="minorEastAsia"/>
          <w:color w:val="333333"/>
          <w:sz w:val="28"/>
          <w:szCs w:val="28"/>
        </w:rPr>
      </w:pPr>
      <w:r>
        <w:rPr>
          <w:rFonts w:hint="eastAsia" w:asciiTheme="minorEastAsia" w:hAnsiTheme="minorEastAsia" w:cstheme="minorEastAsia"/>
          <w:color w:val="333333"/>
          <w:sz w:val="28"/>
          <w:szCs w:val="28"/>
        </w:rPr>
        <w:t> </w:t>
      </w:r>
      <w:r>
        <w:rPr>
          <w:rFonts w:hint="eastAsia" w:asciiTheme="minorEastAsia" w:hAnsiTheme="minorEastAsia" w:eastAsiaTheme="minorEastAsia" w:cstheme="minorEastAsia"/>
          <w:color w:val="333333"/>
          <w:sz w:val="28"/>
          <w:szCs w:val="28"/>
        </w:rPr>
        <w:t>（一）</w:t>
      </w:r>
      <w:r>
        <w:rPr>
          <w:rFonts w:hint="eastAsia" w:asciiTheme="minorEastAsia" w:hAnsiTheme="minorEastAsia" w:eastAsia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指导和检查县属各部门和乡（镇）人民政府的体育工作；支持、指导各部门、各行业、各社会团体积极开展体育活动；做好学校、企业、机关、和农村体育工作；贯彻全民健身计划纲要</w:t>
      </w:r>
      <w:r>
        <w:rPr>
          <w:rFonts w:hint="eastAsia" w:asciiTheme="minorEastAsia" w:hAnsiTheme="minorEastAsia" w:eastAsiaTheme="minorEastAsia" w:cstheme="minorEastAsia"/>
          <w:color w:val="333333"/>
          <w:sz w:val="28"/>
          <w:szCs w:val="28"/>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leftChars="0" w:right="0" w:firstLine="560" w:firstLineChars="200"/>
        <w:jc w:val="left"/>
        <w:textAlignment w:val="auto"/>
        <w:outlineLvl w:val="9"/>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（二）</w:t>
      </w:r>
      <w:r>
        <w:rPr>
          <w:rFonts w:hint="eastAsia" w:asciiTheme="minorEastAsia" w:hAnsiTheme="minorEastAsia" w:eastAsia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制定县级体育竞赛制度和管理办法；负责全县体育竞赛综合平衡；组织指导全县体育竞赛工作</w:t>
      </w:r>
      <w:r>
        <w:rPr>
          <w:rFonts w:hint="eastAsia" w:asciiTheme="minorEastAsia" w:hAnsiTheme="minorEastAsia" w:eastAsia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br w:type="textWrapping"/>
      </w:r>
      <w:r>
        <w:rPr>
          <w:rFonts w:hint="eastAsia" w:asciiTheme="minorEastAsia" w:hAnsiTheme="minorEastAsia" w:eastAsiaTheme="minorEastAsia" w:cstheme="minorEastAsia"/>
          <w:color w:val="333333"/>
          <w:sz w:val="28"/>
          <w:szCs w:val="28"/>
        </w:rPr>
        <w:t>  （三）</w:t>
      </w:r>
      <w:r>
        <w:rPr>
          <w:rFonts w:hint="eastAsia" w:asciiTheme="minorEastAsia" w:hAnsiTheme="minorEastAsia" w:eastAsia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统一规划全县运动项目布局：协调、指导、培训全县青少年体育校外活动，加强活动娱乐性；研究、指导、和管理县青少年运动队的建设和业余训练工作，培养和输送体育后辈人才。</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540" w:lineRule="exact"/>
        <w:ind w:left="0" w:leftChars="0" w:right="0" w:firstLine="560" w:firstLineChars="200"/>
        <w:jc w:val="left"/>
        <w:textAlignment w:val="auto"/>
        <w:outlineLvl w:val="9"/>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（四）</w:t>
      </w:r>
      <w:r>
        <w:rPr>
          <w:rFonts w:hint="eastAsia" w:asciiTheme="minorEastAsia" w:hAnsiTheme="minorEastAsia" w:eastAsia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指导、规划协调体育场地设施建设的发展和维修工作；协调省体育彩票中心搞好体育彩票在本县发行中的协调工作。</w:t>
      </w:r>
    </w:p>
    <w:p>
      <w:pPr>
        <w:pStyle w:val="4"/>
        <w:widowControl/>
        <w:shd w:val="clear" w:color="auto" w:fill="FFFFFF"/>
        <w:spacing w:before="180" w:beforeAutospacing="0" w:after="360" w:afterAutospacing="0" w:line="360" w:lineRule="atLeast"/>
        <w:ind w:firstLine="640"/>
        <w:rPr>
          <w:rFonts w:asciiTheme="minorEastAsia" w:hAnsiTheme="minorEastAsia" w:cstheme="minorEastAsia"/>
          <w:sz w:val="28"/>
          <w:szCs w:val="28"/>
        </w:rPr>
      </w:pP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540" w:lineRule="exact"/>
        <w:ind w:left="0" w:leftChars="0" w:right="0" w:firstLine="560" w:firstLineChars="200"/>
        <w:jc w:val="left"/>
        <w:textAlignment w:val="auto"/>
        <w:outlineLvl w:val="9"/>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为全额</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5</w:t>
      </w:r>
      <w:r>
        <w:rPr>
          <w:rFonts w:hint="eastAsia" w:asciiTheme="minorEastAsia" w:hAnsiTheme="minorEastAsia" w:eastAsiaTheme="minorEastAsia" w:cstheme="minorEastAsia"/>
          <w:color w:val="333333"/>
          <w:sz w:val="28"/>
          <w:szCs w:val="28"/>
        </w:rPr>
        <w:t>个内设机构，为一级预算单位。</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540" w:lineRule="exact"/>
        <w:ind w:left="0" w:leftChars="0" w:right="0" w:firstLine="560" w:firstLineChars="200"/>
        <w:jc w:val="left"/>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540" w:lineRule="exact"/>
        <w:ind w:left="0" w:leftChars="0" w:right="0" w:firstLine="560" w:firstLineChars="200"/>
        <w:jc w:val="left"/>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18</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16</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人。</w:t>
      </w: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492" w:beforeAutospacing="0" w:after="672" w:afterAutospacing="0" w:line="450" w:lineRule="atLeast"/>
        <w:ind w:left="262"/>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2018年度收入总计357</w:t>
      </w:r>
      <w:r>
        <w:rPr>
          <w:rFonts w:hint="eastAsia" w:asciiTheme="minorEastAsia" w:hAnsiTheme="minorEastAsia" w:cstheme="minorEastAsia"/>
          <w:color w:val="373737"/>
          <w:sz w:val="28"/>
          <w:szCs w:val="28"/>
          <w:shd w:val="clear" w:color="auto" w:fill="FFFFFF"/>
          <w:lang w:val="en-US" w:eastAsia="zh-CN"/>
        </w:rPr>
        <w:t>.</w:t>
      </w:r>
      <w:r>
        <w:rPr>
          <w:rFonts w:hint="eastAsia" w:asciiTheme="minorEastAsia" w:hAnsiTheme="minorEastAsia" w:cstheme="minorEastAsia"/>
          <w:color w:val="373737"/>
          <w:sz w:val="28"/>
          <w:szCs w:val="28"/>
          <w:shd w:val="clear" w:color="auto" w:fill="FFFFFF"/>
        </w:rPr>
        <w:t>07万元，支出总计544</w:t>
      </w:r>
      <w:r>
        <w:rPr>
          <w:rFonts w:hint="eastAsia" w:asciiTheme="minorEastAsia" w:hAnsiTheme="minorEastAsia" w:cstheme="minorEastAsia"/>
          <w:color w:val="373737"/>
          <w:sz w:val="28"/>
          <w:szCs w:val="28"/>
          <w:shd w:val="clear" w:color="auto" w:fill="FFFFFF"/>
          <w:lang w:val="en-US" w:eastAsia="zh-CN"/>
        </w:rPr>
        <w:t>.</w:t>
      </w:r>
      <w:r>
        <w:rPr>
          <w:rFonts w:hint="eastAsia" w:asciiTheme="minorEastAsia" w:hAnsiTheme="minorEastAsia" w:cstheme="minorEastAsia"/>
          <w:color w:val="373737"/>
          <w:sz w:val="28"/>
          <w:szCs w:val="28"/>
          <w:shd w:val="clear" w:color="auto" w:fill="FFFFFF"/>
        </w:rPr>
        <w:t>47万元，与上年相比，收入总计</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170.13</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降低</w:t>
      </w:r>
      <w:r>
        <w:rPr>
          <w:rFonts w:hint="eastAsia" w:asciiTheme="minorEastAsia" w:hAnsiTheme="minorEastAsia" w:cstheme="minorEastAsia"/>
          <w:color w:val="373737"/>
          <w:sz w:val="28"/>
          <w:szCs w:val="28"/>
          <w:shd w:val="clear" w:color="auto" w:fill="FFFFFF"/>
          <w:lang w:val="en-US" w:eastAsia="zh-CN"/>
        </w:rPr>
        <w:t>32</w:t>
      </w:r>
      <w:r>
        <w:rPr>
          <w:rFonts w:hint="eastAsia" w:asciiTheme="minorEastAsia" w:hAnsiTheme="minorEastAsia" w:cstheme="minorEastAsia"/>
          <w:color w:val="373737"/>
          <w:sz w:val="28"/>
          <w:szCs w:val="28"/>
          <w:shd w:val="clear" w:color="auto" w:fill="FFFFFF"/>
        </w:rPr>
        <w:t>%；支出总计增加</w:t>
      </w:r>
      <w:r>
        <w:rPr>
          <w:rFonts w:hint="eastAsia" w:asciiTheme="minorEastAsia" w:hAnsiTheme="minorEastAsia" w:cstheme="minorEastAsia"/>
          <w:color w:val="373737"/>
          <w:sz w:val="28"/>
          <w:szCs w:val="28"/>
          <w:shd w:val="clear" w:color="auto" w:fill="FFFFFF"/>
          <w:lang w:val="en-US" w:eastAsia="zh-CN"/>
        </w:rPr>
        <w:t>175.47</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32</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本年收入合计</w:t>
      </w:r>
      <w:r>
        <w:rPr>
          <w:rFonts w:hint="eastAsia" w:asciiTheme="minorEastAsia" w:hAnsiTheme="minorEastAsia" w:cstheme="minorEastAsia"/>
          <w:color w:val="373737"/>
          <w:sz w:val="28"/>
          <w:szCs w:val="28"/>
          <w:shd w:val="clear" w:color="auto" w:fill="FFFFFF"/>
          <w:lang w:val="en-US" w:eastAsia="zh-CN"/>
        </w:rPr>
        <w:t>357.07</w:t>
      </w:r>
      <w:r>
        <w:rPr>
          <w:rFonts w:hint="eastAsia" w:asciiTheme="minorEastAsia" w:hAnsiTheme="minorEastAsia" w:cstheme="minorEastAsia"/>
          <w:color w:val="373737"/>
          <w:sz w:val="28"/>
          <w:szCs w:val="28"/>
          <w:shd w:val="clear" w:color="auto" w:fill="FFFFFF"/>
        </w:rPr>
        <w:t>万元，其中：财政拨款收入</w:t>
      </w:r>
      <w:r>
        <w:rPr>
          <w:rFonts w:hint="eastAsia" w:asciiTheme="minorEastAsia" w:hAnsiTheme="minorEastAsia" w:cstheme="minorEastAsia"/>
          <w:color w:val="373737"/>
          <w:sz w:val="28"/>
          <w:szCs w:val="28"/>
          <w:shd w:val="clear" w:color="auto" w:fill="FFFFFF"/>
          <w:lang w:val="en-US" w:eastAsia="zh-CN"/>
        </w:rPr>
        <w:t>357.07</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%；其他收入万元，占%。</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本年支出合计</w:t>
      </w:r>
      <w:r>
        <w:rPr>
          <w:rFonts w:hint="eastAsia" w:asciiTheme="minorEastAsia" w:hAnsiTheme="minorEastAsia" w:cstheme="minorEastAsia"/>
          <w:color w:val="373737"/>
          <w:sz w:val="28"/>
          <w:szCs w:val="28"/>
          <w:shd w:val="clear" w:color="auto" w:fill="FFFFFF"/>
          <w:lang w:val="en-US" w:eastAsia="zh-CN"/>
        </w:rPr>
        <w:t>544.47</w:t>
      </w:r>
      <w:r>
        <w:rPr>
          <w:rFonts w:hint="eastAsia" w:asciiTheme="minorEastAsia" w:hAnsiTheme="minorEastAsia" w:cstheme="minorEastAsia"/>
          <w:color w:val="373737"/>
          <w:sz w:val="28"/>
          <w:szCs w:val="28"/>
          <w:shd w:val="clear" w:color="auto" w:fill="FFFFFF"/>
        </w:rPr>
        <w:t>万元，其中：基本支出</w:t>
      </w:r>
      <w:r>
        <w:rPr>
          <w:rFonts w:hint="eastAsia" w:asciiTheme="minorEastAsia" w:hAnsiTheme="minorEastAsia" w:cstheme="minorEastAsia"/>
          <w:color w:val="373737"/>
          <w:sz w:val="28"/>
          <w:szCs w:val="28"/>
          <w:shd w:val="clear" w:color="auto" w:fill="FFFFFF"/>
          <w:lang w:val="en-US" w:eastAsia="zh-CN"/>
        </w:rPr>
        <w:t>244.41</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45</w:t>
      </w:r>
      <w:r>
        <w:rPr>
          <w:rFonts w:hint="eastAsia" w:asciiTheme="minorEastAsia" w:hAnsiTheme="minorEastAsia" w:cstheme="minorEastAsia"/>
          <w:color w:val="373737"/>
          <w:sz w:val="28"/>
          <w:szCs w:val="28"/>
          <w:shd w:val="clear" w:color="auto" w:fill="FFFFFF"/>
        </w:rPr>
        <w:t>%；项目支出</w:t>
      </w:r>
      <w:r>
        <w:rPr>
          <w:rFonts w:hint="eastAsia" w:asciiTheme="minorEastAsia" w:hAnsiTheme="minorEastAsia" w:cstheme="minorEastAsia"/>
          <w:color w:val="373737"/>
          <w:sz w:val="28"/>
          <w:szCs w:val="28"/>
          <w:shd w:val="clear" w:color="auto" w:fill="FFFFFF"/>
          <w:lang w:val="en-US" w:eastAsia="zh-CN"/>
        </w:rPr>
        <w:t>300.07</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55</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w:t>
      </w:r>
      <w:r>
        <w:rPr>
          <w:rFonts w:hint="eastAsia" w:asciiTheme="minorEastAsia" w:hAnsiTheme="minorEastAsia" w:cstheme="minorEastAsia"/>
          <w:color w:val="373737"/>
          <w:sz w:val="28"/>
          <w:szCs w:val="28"/>
          <w:shd w:val="clear" w:color="auto" w:fill="FFFFFF"/>
          <w:lang w:val="en-US" w:eastAsia="zh-CN"/>
        </w:rPr>
        <w:t>357.07</w:t>
      </w:r>
      <w:r>
        <w:rPr>
          <w:rFonts w:hint="eastAsia" w:asciiTheme="minorEastAsia" w:hAnsiTheme="minorEastAsia" w:cstheme="minorEastAsia"/>
          <w:color w:val="373737"/>
          <w:sz w:val="28"/>
          <w:szCs w:val="28"/>
          <w:shd w:val="clear" w:color="auto" w:fill="FFFFFF"/>
        </w:rPr>
        <w:t>万元，与上年相比，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170.13</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降低</w:t>
      </w:r>
      <w:r>
        <w:rPr>
          <w:rFonts w:hint="eastAsia" w:asciiTheme="minorEastAsia" w:hAnsiTheme="minorEastAsia" w:cstheme="minorEastAsia"/>
          <w:color w:val="373737"/>
          <w:sz w:val="28"/>
          <w:szCs w:val="28"/>
          <w:shd w:val="clear" w:color="auto" w:fill="FFFFFF"/>
          <w:lang w:val="en-US" w:eastAsia="zh-CN"/>
        </w:rPr>
        <w:t>32</w:t>
      </w: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544.47</w:t>
      </w:r>
      <w:r>
        <w:rPr>
          <w:rFonts w:hint="eastAsia" w:asciiTheme="minorEastAsia" w:hAnsiTheme="minorEastAsia" w:cstheme="minorEastAsia"/>
          <w:color w:val="373737"/>
          <w:sz w:val="28"/>
          <w:szCs w:val="28"/>
          <w:shd w:val="clear" w:color="auto" w:fill="FFFFFF"/>
        </w:rPr>
        <w:t>万元，与上年相比，增加</w:t>
      </w:r>
      <w:r>
        <w:rPr>
          <w:rFonts w:hint="eastAsia" w:asciiTheme="minorEastAsia" w:hAnsiTheme="minorEastAsia" w:cstheme="minorEastAsia"/>
          <w:color w:val="373737"/>
          <w:sz w:val="28"/>
          <w:szCs w:val="28"/>
          <w:shd w:val="clear" w:color="auto" w:fill="FFFFFF"/>
          <w:lang w:val="en-US" w:eastAsia="zh-CN"/>
        </w:rPr>
        <w:t>175.47</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32</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250.99</w:t>
      </w:r>
      <w:r>
        <w:rPr>
          <w:rFonts w:hint="eastAsia" w:asciiTheme="minorEastAsia" w:hAnsiTheme="minorEastAsia" w:cstheme="minorEastAsia"/>
          <w:color w:val="373737"/>
          <w:sz w:val="28"/>
          <w:szCs w:val="28"/>
          <w:shd w:val="clear" w:color="auto" w:fill="FFFFFF"/>
        </w:rPr>
        <w:t>万元，占本年支出合计的</w:t>
      </w:r>
      <w:r>
        <w:rPr>
          <w:rFonts w:hint="eastAsia" w:asciiTheme="minorEastAsia" w:hAnsiTheme="minorEastAsia" w:cstheme="minorEastAsia"/>
          <w:color w:val="373737"/>
          <w:sz w:val="28"/>
          <w:szCs w:val="28"/>
          <w:shd w:val="clear" w:color="auto" w:fill="FFFFFF"/>
          <w:lang w:val="en-US" w:eastAsia="zh-CN"/>
        </w:rPr>
        <w:t>46</w:t>
      </w:r>
      <w:r>
        <w:rPr>
          <w:rFonts w:hint="eastAsia" w:asciiTheme="minorEastAsia" w:hAnsiTheme="minorEastAsia" w:cstheme="minorEastAsia"/>
          <w:color w:val="373737"/>
          <w:sz w:val="28"/>
          <w:szCs w:val="28"/>
          <w:shd w:val="clear" w:color="auto" w:fill="FFFFFF"/>
        </w:rPr>
        <w:t>%。与上年相比，财政拨款支出增加</w:t>
      </w:r>
      <w:r>
        <w:rPr>
          <w:rFonts w:hint="eastAsia" w:asciiTheme="minorEastAsia" w:hAnsiTheme="minorEastAsia" w:cstheme="minorEastAsia"/>
          <w:color w:val="373737"/>
          <w:sz w:val="28"/>
          <w:szCs w:val="28"/>
          <w:shd w:val="clear" w:color="auto" w:fill="FFFFFF"/>
          <w:lang w:val="en-US" w:eastAsia="zh-CN"/>
        </w:rPr>
        <w:t>48.93</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24</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2018年度财政拨款支出万元，主要用于以下方面：</w:t>
      </w:r>
      <w:r>
        <w:rPr>
          <w:rStyle w:val="7"/>
          <w:rFonts w:hint="eastAsia" w:asciiTheme="minorEastAsia" w:hAnsiTheme="minorEastAsia" w:cstheme="minorEastAsia"/>
          <w:color w:val="373737"/>
          <w:sz w:val="28"/>
          <w:szCs w:val="28"/>
          <w:shd w:val="clear" w:color="auto" w:fill="FFFFFF"/>
        </w:rPr>
        <w:t>社会保障和就业（类）</w:t>
      </w:r>
      <w:r>
        <w:rPr>
          <w:rFonts w:hint="eastAsia" w:asciiTheme="minorEastAsia" w:hAnsiTheme="minorEastAsia" w:cstheme="minorEastAsia"/>
          <w:color w:val="373737"/>
          <w:sz w:val="28"/>
          <w:szCs w:val="28"/>
          <w:shd w:val="clear" w:color="auto" w:fill="FFFFFF"/>
        </w:rPr>
        <w:t>支出万元，占%；</w:t>
      </w:r>
      <w:r>
        <w:rPr>
          <w:rStyle w:val="7"/>
          <w:rFonts w:hint="eastAsia" w:asciiTheme="minorEastAsia" w:hAnsiTheme="minorEastAsia" w:cstheme="minorEastAsia"/>
          <w:color w:val="373737"/>
          <w:sz w:val="28"/>
          <w:szCs w:val="28"/>
          <w:shd w:val="clear" w:color="auto" w:fill="FFFFFF"/>
        </w:rPr>
        <w:t>医疗卫生与计划生育（类）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11.21</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4.46</w:t>
      </w:r>
      <w:r>
        <w:rPr>
          <w:rFonts w:hint="eastAsia" w:asciiTheme="minorEastAsia" w:hAnsiTheme="minorEastAsia" w:cstheme="minorEastAsia"/>
          <w:color w:val="373737"/>
          <w:sz w:val="28"/>
          <w:szCs w:val="28"/>
          <w:shd w:val="clear" w:color="auto" w:fill="FFFFFF"/>
        </w:rPr>
        <w:t>%；</w:t>
      </w:r>
      <w:r>
        <w:rPr>
          <w:rStyle w:val="7"/>
          <w:rFonts w:hint="eastAsia" w:asciiTheme="minorEastAsia" w:hAnsiTheme="minorEastAsia" w:cstheme="minorEastAsia"/>
          <w:color w:val="373737"/>
          <w:sz w:val="28"/>
          <w:szCs w:val="28"/>
          <w:shd w:val="clear" w:color="auto" w:fill="FFFFFF"/>
        </w:rPr>
        <w:t>农林水（类）</w:t>
      </w:r>
      <w:r>
        <w:rPr>
          <w:rFonts w:hint="eastAsia" w:asciiTheme="minorEastAsia" w:hAnsiTheme="minorEastAsia" w:cstheme="minorEastAsia"/>
          <w:color w:val="373737"/>
          <w:sz w:val="28"/>
          <w:szCs w:val="28"/>
          <w:shd w:val="clear" w:color="auto" w:fill="FFFFFF"/>
        </w:rPr>
        <w:t>支出万元，占%；</w:t>
      </w:r>
      <w:r>
        <w:rPr>
          <w:rStyle w:val="7"/>
          <w:rFonts w:hint="eastAsia" w:asciiTheme="minorEastAsia" w:hAnsiTheme="minorEastAsia" w:cstheme="minorEastAsia"/>
          <w:color w:val="373737"/>
          <w:sz w:val="28"/>
          <w:szCs w:val="28"/>
          <w:shd w:val="clear" w:color="auto" w:fill="FFFFFF"/>
        </w:rPr>
        <w:t>住房保障（类）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10.66</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4.24</w:t>
      </w:r>
      <w:r>
        <w:rPr>
          <w:rFonts w:hint="eastAsia" w:asciiTheme="minorEastAsia" w:hAnsiTheme="minorEastAsia" w:cstheme="minorEastAsia"/>
          <w:color w:val="373737"/>
          <w:sz w:val="28"/>
          <w:szCs w:val="28"/>
          <w:shd w:val="clear" w:color="auto" w:fill="FFFFFF"/>
        </w:rPr>
        <w:t>%。（根据单位实际科目）</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w:t>
      </w:r>
      <w:r>
        <w:rPr>
          <w:rFonts w:hint="eastAsia" w:asciiTheme="minorEastAsia" w:hAnsiTheme="minorEastAsia" w:cstheme="minorEastAsia"/>
          <w:color w:val="373737"/>
          <w:sz w:val="28"/>
          <w:szCs w:val="28"/>
          <w:shd w:val="clear" w:color="auto" w:fill="FFFFFF"/>
          <w:lang w:val="en-US" w:eastAsia="zh-CN"/>
        </w:rPr>
        <w:t>190.48</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357.07</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187</w:t>
      </w:r>
      <w:r>
        <w:rPr>
          <w:rFonts w:hint="eastAsia" w:asciiTheme="minorEastAsia" w:hAnsiTheme="minorEastAsia" w:cstheme="minor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 社会保障和就业（类）行政事业单位离退休（款）未归口管理的行政单位离退休（项）。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15.99</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21.87</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73</w:t>
      </w:r>
      <w:r>
        <w:rPr>
          <w:rFonts w:hint="eastAsia" w:asciiTheme="minorEastAsia" w:hAnsiTheme="minorEastAsia" w:cstheme="minorEastAsia"/>
          <w:color w:val="373737"/>
          <w:sz w:val="28"/>
          <w:szCs w:val="28"/>
          <w:shd w:val="clear" w:color="auto" w:fill="FFFFFF"/>
        </w:rPr>
        <w:t>%。决算数大于预算数的主要原因是2018年离退休职工工资增长了。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 医疗卫生和计划生育（类）医疗保障（款）行政单位医疗（项）。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6.85</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6.85</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%。决算数大于预算数的主要原因在职职工增长了工资，使医疗保险的缴交比例增加了。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 农林水（类）农业（款）行政运行（项）。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2.62</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262</w:t>
      </w:r>
      <w:r>
        <w:rPr>
          <w:rFonts w:hint="eastAsia" w:asciiTheme="minorEastAsia" w:hAnsiTheme="minorEastAsia" w:cstheme="minorEastAsia"/>
          <w:color w:val="373737"/>
          <w:sz w:val="28"/>
          <w:szCs w:val="28"/>
          <w:shd w:val="clear" w:color="auto" w:fill="FFFFFF"/>
        </w:rPr>
        <w:t>%。决算数大于预算数的主要原因是2018年增加了行政管理事务等项目资金。</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4. 住房保障（类）住房改革支出（款）住房公积金（项）。</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10.66</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10.66</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%。决算数大于预算数的主要原因是2018年在职职工增长了工资，使住房公积金的缴交比例增加了。</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年度财政拨款基本支出</w:t>
      </w:r>
      <w:r>
        <w:rPr>
          <w:rFonts w:hint="eastAsia" w:asciiTheme="minorEastAsia" w:hAnsiTheme="minorEastAsia" w:cstheme="minorEastAsia"/>
          <w:color w:val="373737"/>
          <w:sz w:val="28"/>
          <w:szCs w:val="28"/>
          <w:shd w:val="clear" w:color="auto" w:fill="FFFFFF"/>
          <w:lang w:val="en-US" w:eastAsia="zh-CN"/>
        </w:rPr>
        <w:t>250.99</w:t>
      </w:r>
      <w:r>
        <w:rPr>
          <w:rFonts w:hint="eastAsia" w:asciiTheme="minorEastAsia" w:hAnsiTheme="minorEastAsia" w:cstheme="minorEastAsia"/>
          <w:color w:val="373737"/>
          <w:sz w:val="28"/>
          <w:szCs w:val="28"/>
          <w:shd w:val="clear" w:color="auto" w:fill="FFFFFF"/>
        </w:rPr>
        <w:t>万元，其中：人员经费</w:t>
      </w:r>
      <w:r>
        <w:rPr>
          <w:rFonts w:hint="eastAsia" w:asciiTheme="minorEastAsia" w:hAnsiTheme="minorEastAsia" w:cstheme="minorEastAsia"/>
          <w:color w:val="373737"/>
          <w:sz w:val="28"/>
          <w:szCs w:val="28"/>
          <w:shd w:val="clear" w:color="auto" w:fill="FFFFFF"/>
          <w:lang w:val="en-US" w:eastAsia="zh-CN"/>
        </w:rPr>
        <w:t>148.51</w:t>
      </w:r>
      <w:r>
        <w:rPr>
          <w:rFonts w:hint="eastAsia" w:asciiTheme="minorEastAsia" w:hAnsiTheme="minorEastAsia" w:cstheme="minor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color w:val="373737"/>
          <w:sz w:val="28"/>
          <w:szCs w:val="28"/>
          <w:shd w:val="clear" w:color="auto" w:fill="FFFFFF"/>
          <w:lang w:val="en-US" w:eastAsia="zh-CN"/>
        </w:rPr>
        <w:t>102.48</w:t>
      </w:r>
      <w:r>
        <w:rPr>
          <w:rFonts w:hint="eastAsia" w:asciiTheme="minorEastAsia" w:hAnsiTheme="minorEastAsia" w:cstheme="minor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万元，支出决算为万元，完成预算的%，其中：因公出国（境）费支出决算为万元，完成预算的%；公务用车购置及运行费支出决算为万元，完成预算的%；公务接待费支出决算为万元，完成预算的%。2018年度“三公”经费支出决算数与预算数持平。</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减少万元，减少%，公务用车购置及运行费支出决算0万元，减少%，原因为：部门严格执行三公经费缩减，车改后车辆上交；公务接待费支出决算0万元，增长%，原因为：严格按照上级标准，缩减公务接待开支。</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2018年度“三公”经费财政拨款支出决算中，因公出国（境）费支出决算万元，占%；公务用车购置及运行费支出决算万元，占%；公务接待费支出决算万元，占%。</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w:t>
      </w:r>
      <w:r>
        <w:rPr>
          <w:rStyle w:val="7"/>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万元。其中：国内公务接待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万元，国内公务接待批次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个，国内公务接待人次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人；国（境）外公务接待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180" w:beforeAutospacing="0" w:after="360" w:afterAutospacing="0" w:line="450" w:lineRule="atLeast"/>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本部门 2018年度机关运行经费支出 </w:t>
      </w:r>
      <w:r>
        <w:rPr>
          <w:rFonts w:hint="eastAsia" w:asciiTheme="minorEastAsia" w:hAnsiTheme="minorEastAsia" w:cstheme="minorEastAsia"/>
          <w:color w:val="333333"/>
          <w:sz w:val="28"/>
          <w:szCs w:val="28"/>
          <w:lang w:eastAsia="zh-CN"/>
        </w:rPr>
        <w:t>0</w:t>
      </w:r>
      <w:r>
        <w:rPr>
          <w:rFonts w:hint="eastAsia" w:asciiTheme="minorEastAsia" w:hAnsiTheme="minorEastAsia" w:cstheme="minorEastAsia"/>
          <w:color w:val="333333"/>
          <w:sz w:val="28"/>
          <w:szCs w:val="28"/>
        </w:rPr>
        <w:t xml:space="preserve"> 万元（与部门决算中行政单位和参照公务员法管理事业单位一般公共预算财政拨款基本支出中公用经费之和保持一致），比上年增加（减少）</w:t>
      </w:r>
      <w:r>
        <w:rPr>
          <w:rFonts w:hint="eastAsia" w:asciiTheme="minorEastAsia" w:hAnsiTheme="minorEastAsia" w:cstheme="minorEastAsia"/>
          <w:color w:val="333333"/>
          <w:sz w:val="28"/>
          <w:szCs w:val="28"/>
          <w:lang w:eastAsia="zh-CN"/>
        </w:rPr>
        <w:t>0</w:t>
      </w:r>
      <w:r>
        <w:rPr>
          <w:rFonts w:hint="eastAsia" w:asciiTheme="minorEastAsia" w:hAnsiTheme="minorEastAsia" w:cstheme="minorEastAsia"/>
          <w:color w:val="333333"/>
          <w:sz w:val="28"/>
          <w:szCs w:val="28"/>
        </w:rPr>
        <w:t xml:space="preserve"> 万元，增长（降低）</w:t>
      </w:r>
      <w:r>
        <w:rPr>
          <w:rFonts w:hint="eastAsia" w:asciiTheme="minorEastAsia" w:hAnsiTheme="minorEastAsia" w:cstheme="minorEastAsia"/>
          <w:color w:val="333333"/>
          <w:sz w:val="28"/>
          <w:szCs w:val="28"/>
          <w:lang w:eastAsia="zh-CN"/>
        </w:rPr>
        <w:t>0</w:t>
      </w:r>
      <w:r>
        <w:rPr>
          <w:rFonts w:hint="eastAsia" w:asciiTheme="minorEastAsia" w:hAnsiTheme="minorEastAsia" w:cstheme="minorEastAsia"/>
          <w:color w:val="333333"/>
          <w:sz w:val="28"/>
          <w:szCs w:val="28"/>
        </w:rPr>
        <w:t>%。主要原因是：……（具体增减原因由部门根据实际情况填列）。</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2017年度政府采购支出总额 万元，其中：政府采购货物支出万元、政府采购工程支出 万元、政府采购服务支出万元。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日，本部门共有车辆辆，其中，一般公务用车 0 辆、一般执法执勤用辆、特种专业技术用车辆、其他用车辆，其他用车主要是办案用车；单位价值 50 万万元以上通用设备台（套），单价100 万万元以上专用设备 台（套）。</w:t>
      </w:r>
    </w:p>
    <w:p>
      <w:pPr>
        <w:pStyle w:val="4"/>
        <w:widowControl/>
        <w:spacing w:before="180" w:beforeAutospacing="0" w:after="360" w:afterAutospacing="0" w:line="457" w:lineRule="atLeast"/>
        <w:ind w:firstLine="851"/>
        <w:rPr>
          <w:rFonts w:asciiTheme="minorEastAsia" w:hAnsiTheme="minorEastAsia" w:cstheme="minorEastAsia"/>
          <w:sz w:val="28"/>
          <w:szCs w:val="28"/>
        </w:rPr>
      </w:pPr>
      <w:bookmarkStart w:id="0" w:name="_GoBack"/>
      <w:bookmarkEnd w:id="0"/>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4B5236"/>
    <w:rsid w:val="006705BB"/>
    <w:rsid w:val="00760BB8"/>
    <w:rsid w:val="01340F75"/>
    <w:rsid w:val="03FE7F0E"/>
    <w:rsid w:val="098217C0"/>
    <w:rsid w:val="0E980DC7"/>
    <w:rsid w:val="179B676B"/>
    <w:rsid w:val="1CFB22BC"/>
    <w:rsid w:val="2A054FEB"/>
    <w:rsid w:val="2DE7389C"/>
    <w:rsid w:val="3DDC6AB6"/>
    <w:rsid w:val="419008B3"/>
    <w:rsid w:val="4C842C94"/>
    <w:rsid w:val="51937B84"/>
    <w:rsid w:val="5B844CCB"/>
    <w:rsid w:val="5F3710FC"/>
    <w:rsid w:val="62763A6A"/>
    <w:rsid w:val="67A41280"/>
    <w:rsid w:val="6B6E45D7"/>
    <w:rsid w:val="6BC52739"/>
    <w:rsid w:val="763C3B43"/>
    <w:rsid w:val="768870B2"/>
    <w:rsid w:val="7BC22F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qFormat/>
    <w:uiPriority w:val="0"/>
  </w:style>
  <w:style w:type="character" w:customStyle="1" w:styleId="17">
    <w:name w:val="td32"/>
    <w:basedOn w:val="6"/>
    <w:qFormat/>
    <w:uiPriority w:val="0"/>
  </w:style>
  <w:style w:type="character" w:customStyle="1" w:styleId="18">
    <w:name w:val="home"/>
    <w:basedOn w:val="6"/>
    <w:qFormat/>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27</TotalTime>
  <ScaleCrop>false</ScaleCrop>
  <LinksUpToDate>false</LinksUpToDate>
  <CharactersWithSpaces>3510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cp:lastModifiedBy>
  <dcterms:modified xsi:type="dcterms:W3CDTF">2019-09-19T10:35:22Z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